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DAC" w:rsidRDefault="00FC1DAC" w:rsidP="00FC1DAC">
      <w:bookmarkStart w:id="0" w:name="_GoBack"/>
      <w:bookmarkEnd w:id="0"/>
    </w:p>
    <w:p w:rsidR="00FC1DAC" w:rsidRPr="00FC1DAC" w:rsidRDefault="00FC1DAC" w:rsidP="00FC1DAC">
      <w:pPr>
        <w:pStyle w:val="a3"/>
        <w:numPr>
          <w:ilvl w:val="0"/>
          <w:numId w:val="1"/>
        </w:numPr>
        <w:rPr>
          <w:lang w:val="ru-RU"/>
        </w:rPr>
      </w:pPr>
      <w:r w:rsidRPr="00FC1DAC">
        <w:rPr>
          <w:lang w:val="ru-RU"/>
        </w:rPr>
        <w:t xml:space="preserve">Первая рабочая неделя нового 2016 года не принесла стабильности на российский валютный рынок. В среду курс доллара на торгах Московской биржи обновил максимум с декабря 2014 года, достигнув уровня 75,1 руб./$. Курс евро вернулся к отметке выше 80 руб./€. Резкое ослабление рубля произошло на фоне падения цен на нефть — котировки </w:t>
      </w:r>
      <w:r>
        <w:t>Brent</w:t>
      </w:r>
      <w:r w:rsidRPr="00FC1DAC">
        <w:rPr>
          <w:lang w:val="ru-RU"/>
        </w:rPr>
        <w:t xml:space="preserve"> обновили 11-летний минимум, опустившись ниже $35 за баррель.</w:t>
      </w:r>
    </w:p>
    <w:p w:rsidR="00FC1DAC" w:rsidRPr="00FC1DAC" w:rsidRDefault="00FC1DAC" w:rsidP="00FC1DAC">
      <w:pPr>
        <w:pStyle w:val="a3"/>
        <w:rPr>
          <w:lang w:val="ru-RU"/>
        </w:rPr>
      </w:pPr>
    </w:p>
    <w:p w:rsidR="00FC1DAC" w:rsidRPr="00FC1DAC" w:rsidRDefault="00FC1DAC" w:rsidP="00FC1DAC">
      <w:pPr>
        <w:pStyle w:val="a3"/>
        <w:numPr>
          <w:ilvl w:val="0"/>
          <w:numId w:val="1"/>
        </w:numPr>
        <w:rPr>
          <w:lang w:val="ru-RU"/>
        </w:rPr>
      </w:pPr>
      <w:r w:rsidRPr="00FC1DAC">
        <w:rPr>
          <w:lang w:val="ru-RU"/>
        </w:rPr>
        <w:t>Четвертый за четверть века экономический кризис в РФ сопровождается небывалым за последние 15 лет спадом доходов домохозяйств и ростом уровня бедности. Они происходят в отсутствие у государства и общества финансовых и институциональных возможностей для социальной адаптации.</w:t>
      </w:r>
      <w:r>
        <w:rPr>
          <w:lang w:val="ru-RU"/>
        </w:rPr>
        <w:t xml:space="preserve"> </w:t>
      </w:r>
      <w:r>
        <w:t>A</w:t>
      </w:r>
      <w:r w:rsidRPr="00FC1DAC">
        <w:rPr>
          <w:lang w:val="ru-RU"/>
        </w:rPr>
        <w:t>налитики ждут массового падения уровня и качества жизни граждан. По уровню бедных в обществе в 2016 году Р</w:t>
      </w:r>
      <w:r>
        <w:rPr>
          <w:lang w:val="ru-RU"/>
        </w:rPr>
        <w:t xml:space="preserve">оссия </w:t>
      </w:r>
      <w:proofErr w:type="gramStart"/>
      <w:r>
        <w:rPr>
          <w:lang w:val="ru-RU"/>
        </w:rPr>
        <w:t>может  вернуться</w:t>
      </w:r>
      <w:proofErr w:type="gramEnd"/>
      <w:r>
        <w:rPr>
          <w:lang w:val="ru-RU"/>
        </w:rPr>
        <w:t xml:space="preserve"> </w:t>
      </w:r>
      <w:r w:rsidRPr="00FC1DAC">
        <w:rPr>
          <w:lang w:val="ru-RU"/>
        </w:rPr>
        <w:t>к ситуации 2005 года.</w:t>
      </w:r>
      <w:r>
        <w:rPr>
          <w:lang w:val="ru-RU"/>
        </w:rPr>
        <w:t xml:space="preserve"> По </w:t>
      </w:r>
      <w:proofErr w:type="gramStart"/>
      <w:r>
        <w:rPr>
          <w:lang w:val="ru-RU"/>
        </w:rPr>
        <w:t>оценкам  экспертов</w:t>
      </w:r>
      <w:proofErr w:type="gramEnd"/>
      <w:r>
        <w:rPr>
          <w:lang w:val="ru-RU"/>
        </w:rPr>
        <w:t xml:space="preserve">, в зоне риска </w:t>
      </w:r>
      <w:r w:rsidRPr="00FC1DAC">
        <w:rPr>
          <w:lang w:val="ru-RU"/>
        </w:rPr>
        <w:t xml:space="preserve"> находятся от 30% до 50% населения РФ — прежде всего дети, пенсионеры и их семьи, а также занятые неполный рабочий день. И если они об этом еще не знают, то точно узнают в 2016 году.</w:t>
      </w:r>
    </w:p>
    <w:p w:rsidR="00FC1DAC" w:rsidRPr="00FC1DAC" w:rsidRDefault="00FC1DAC" w:rsidP="00FC1DAC">
      <w:pPr>
        <w:pStyle w:val="a3"/>
        <w:numPr>
          <w:ilvl w:val="0"/>
          <w:numId w:val="1"/>
        </w:numPr>
        <w:rPr>
          <w:lang w:val="ru-RU"/>
        </w:rPr>
      </w:pPr>
      <w:r w:rsidRPr="00FC1DAC">
        <w:rPr>
          <w:lang w:val="ru-RU"/>
        </w:rPr>
        <w:t>Вчера правительство Саудовской Аравии заявило, что в 2015 году был зафиксирован рекордный бюджетный дефицит — $98 млрд. Дефицит вызван тем, что цены на нефть снизились заметно сильнее прогнозов этой ближневосточной монархии. На следующий год власти страны запланировали бюджетный дефицит в $87 млрд. По данным саудовского Министерства финансов, доходы бюджета в 2015 году составили $162 млрд, что является минимальным уровнем с 2009 года, когда цены на нефть упали в результате финансового кризиса. Доход в 2015 году оказался на 15% ниже запланированного, а в 2014 году — на 42% ниже.</w:t>
      </w:r>
    </w:p>
    <w:p w:rsidR="00FC1DAC" w:rsidRPr="00FC1DAC" w:rsidRDefault="00FC1DAC" w:rsidP="00FC1DAC">
      <w:pPr>
        <w:pStyle w:val="a3"/>
        <w:numPr>
          <w:ilvl w:val="0"/>
          <w:numId w:val="1"/>
        </w:numPr>
        <w:rPr>
          <w:lang w:val="ru-RU"/>
        </w:rPr>
      </w:pPr>
      <w:r w:rsidRPr="00FC1DAC">
        <w:rPr>
          <w:lang w:val="ru-RU"/>
        </w:rPr>
        <w:t xml:space="preserve">Партнеры по «Сахалину-1» «Роснефть» и ExxonMobil, несмотря на заморозку большинства совместных проектов в России из-за санкций, продолжают сотрудничество за рубежом. Компании собираются работать на шельфе Мозамбика, где за последние пять лет открыто несколько крупных газовых месторождений. Эксперты предупреждают о ряде рисков в стране, но считают, что работа там с ExxonMobil важна для «Роснефти», прежде всего, с политической точки зрения. </w:t>
      </w:r>
    </w:p>
    <w:p w:rsidR="0043139F" w:rsidRPr="0043139F" w:rsidRDefault="0043139F" w:rsidP="0043139F">
      <w:pPr>
        <w:pStyle w:val="a3"/>
        <w:numPr>
          <w:ilvl w:val="0"/>
          <w:numId w:val="1"/>
        </w:numPr>
        <w:rPr>
          <w:lang w:val="ru-RU"/>
        </w:rPr>
      </w:pPr>
      <w:r>
        <w:rPr>
          <w:lang w:val="ru-RU"/>
        </w:rPr>
        <w:t>Заместитель директора "Кузбасс</w:t>
      </w:r>
      <w:r w:rsidR="00FC1DAC" w:rsidRPr="00FC1DAC">
        <w:rPr>
          <w:lang w:val="ru-RU"/>
        </w:rPr>
        <w:t>уголь" Ирина Ольховская рассказала коррес</w:t>
      </w:r>
      <w:r>
        <w:rPr>
          <w:lang w:val="ru-RU"/>
        </w:rPr>
        <w:t>понденту "Денег</w:t>
      </w:r>
      <w:proofErr w:type="gramStart"/>
      <w:r>
        <w:rPr>
          <w:lang w:val="ru-RU"/>
        </w:rPr>
        <w:t xml:space="preserve">" </w:t>
      </w:r>
      <w:r w:rsidR="00FC1DAC" w:rsidRPr="00FC1DAC">
        <w:rPr>
          <w:lang w:val="ru-RU"/>
        </w:rPr>
        <w:t>,</w:t>
      </w:r>
      <w:proofErr w:type="gramEnd"/>
      <w:r w:rsidR="00FC1DAC" w:rsidRPr="00FC1DAC">
        <w:rPr>
          <w:lang w:val="ru-RU"/>
        </w:rPr>
        <w:t xml:space="preserve"> что происходит на мировом рынке угля и почему российский производитель должен бороться за Южную Корею и Японию.</w:t>
      </w:r>
      <w:r>
        <w:rPr>
          <w:lang w:val="ru-RU"/>
        </w:rPr>
        <w:t xml:space="preserve"> </w:t>
      </w:r>
      <w:r w:rsidRPr="0043139F">
        <w:rPr>
          <w:lang w:val="ru-RU"/>
        </w:rPr>
        <w:t>Спрос на уголь падает, продавать его з</w:t>
      </w:r>
      <w:r>
        <w:rPr>
          <w:lang w:val="ru-RU"/>
        </w:rPr>
        <w:t xml:space="preserve">а границей непросто. </w:t>
      </w:r>
      <w:r w:rsidRPr="0043139F">
        <w:rPr>
          <w:lang w:val="ru-RU"/>
        </w:rPr>
        <w:t xml:space="preserve">— На </w:t>
      </w:r>
      <w:r>
        <w:rPr>
          <w:lang w:val="ru-RU"/>
        </w:rPr>
        <w:t>мировом рынке угля сейчас с</w:t>
      </w:r>
      <w:r w:rsidRPr="0043139F">
        <w:rPr>
          <w:lang w:val="ru-RU"/>
        </w:rPr>
        <w:t xml:space="preserve">прос снижается, например, в ЕС, где падают темпы экономического роста и потребления электроэнергии. Другой фактор — уже четвертый год подряд там стоят теплые зимы. В Европе в принципе идет движение в сторону использования возобновляемых источников энергии — солнца, ветра и биомассы. Там жесткие экологические </w:t>
      </w:r>
      <w:proofErr w:type="gramStart"/>
      <w:r w:rsidRPr="0043139F">
        <w:rPr>
          <w:lang w:val="ru-RU"/>
        </w:rPr>
        <w:t>требова</w:t>
      </w:r>
      <w:r>
        <w:rPr>
          <w:lang w:val="ru-RU"/>
        </w:rPr>
        <w:t xml:space="preserve">ния </w:t>
      </w:r>
      <w:r w:rsidRPr="0043139F">
        <w:rPr>
          <w:lang w:val="ru-RU"/>
        </w:rPr>
        <w:t>.</w:t>
      </w:r>
      <w:proofErr w:type="gramEnd"/>
      <w:r w:rsidRPr="0043139F">
        <w:rPr>
          <w:lang w:val="ru-RU"/>
        </w:rPr>
        <w:t xml:space="preserve"> Наконец, в последний год гораздо доступнее стал газ, на него тоже снизились цены.</w:t>
      </w:r>
    </w:p>
    <w:p w:rsidR="0043139F" w:rsidRPr="0043139F" w:rsidRDefault="0043139F" w:rsidP="0043139F">
      <w:pPr>
        <w:pStyle w:val="a3"/>
        <w:numPr>
          <w:ilvl w:val="0"/>
          <w:numId w:val="1"/>
        </w:numPr>
        <w:rPr>
          <w:lang w:val="ru-RU"/>
        </w:rPr>
      </w:pPr>
      <w:proofErr w:type="gramStart"/>
      <w:r w:rsidRPr="0043139F">
        <w:rPr>
          <w:lang w:val="ru-RU"/>
        </w:rPr>
        <w:t xml:space="preserve">Хозяйство </w:t>
      </w:r>
      <w:r>
        <w:rPr>
          <w:lang w:val="ru-RU"/>
        </w:rPr>
        <w:t xml:space="preserve"> Центрального</w:t>
      </w:r>
      <w:proofErr w:type="gramEnd"/>
      <w:r>
        <w:rPr>
          <w:lang w:val="ru-RU"/>
        </w:rPr>
        <w:t xml:space="preserve"> </w:t>
      </w:r>
      <w:r w:rsidRPr="0043139F">
        <w:rPr>
          <w:lang w:val="ru-RU"/>
        </w:rPr>
        <w:t xml:space="preserve">района специализируется на машиностроении. В машиностроительном комплексе региона особое значение имеет станкостроение, электроника, радиоэлектроника, приборостроение, вычислительная техника (Москва, Нижний Новгород, Воронеж, Иваново, Рязань). Доля этих наукоёмких производств точного машиностроения Центральной России во всем производстве страны составляет 1/2. Центральная Россия специализируется на производстве энергетического и электротехнического оборудования (Москва). Здесь производится более 1/3 продукции </w:t>
      </w:r>
      <w:r w:rsidRPr="0043139F">
        <w:rPr>
          <w:lang w:val="ru-RU"/>
        </w:rPr>
        <w:lastRenderedPageBreak/>
        <w:t>транспортного машиностроения: автомобили, самолеты (Москва, Смоленск, Нижний Новгород, Воронеж), суда (Нижний Новгород), оборудование для железнодорожного транспорта (Коломна, Мытищи, Тверь).</w:t>
      </w:r>
    </w:p>
    <w:p w:rsidR="0043139F" w:rsidRPr="0043139F" w:rsidRDefault="0043139F" w:rsidP="0043139F">
      <w:pPr>
        <w:pStyle w:val="a3"/>
        <w:numPr>
          <w:ilvl w:val="0"/>
          <w:numId w:val="1"/>
        </w:numPr>
        <w:rPr>
          <w:lang w:val="ru-RU"/>
        </w:rPr>
      </w:pPr>
      <w:r w:rsidRPr="0043139F">
        <w:rPr>
          <w:lang w:val="ru-RU"/>
        </w:rPr>
        <w:t>Большое значение имело формирование металлургии Центра на базе крупнейших в мире ресурсов КМА. Главные металлургические центры – Липецк, Старый Оскол и Тула. В Центральной России развита химическая промышленность, производящая каучук и шины (Ярославль), синтетические волокна (Клин), пластмассы и удобрения (Подмосковье).</w:t>
      </w:r>
    </w:p>
    <w:p w:rsidR="0043139F" w:rsidRPr="0043139F" w:rsidRDefault="0043139F" w:rsidP="0043139F">
      <w:pPr>
        <w:pStyle w:val="a3"/>
        <w:numPr>
          <w:ilvl w:val="0"/>
          <w:numId w:val="1"/>
        </w:numPr>
        <w:rPr>
          <w:lang w:val="ru-RU"/>
        </w:rPr>
      </w:pPr>
      <w:r w:rsidRPr="0043139F">
        <w:rPr>
          <w:lang w:val="ru-RU"/>
        </w:rPr>
        <w:t xml:space="preserve">Лесная, деревообрабатывающая и целлюлозно-бумажная промышленность базируется на северо-востоке региона. Длительный путь развития прошла текстильная промышленность, использующая </w:t>
      </w:r>
      <w:proofErr w:type="gramStart"/>
      <w:r w:rsidRPr="0043139F">
        <w:rPr>
          <w:lang w:val="ru-RU"/>
        </w:rPr>
        <w:t>в основном привозное сырье</w:t>
      </w:r>
      <w:proofErr w:type="gramEnd"/>
      <w:r w:rsidRPr="0043139F">
        <w:rPr>
          <w:lang w:val="ru-RU"/>
        </w:rPr>
        <w:t>, а также химические волокна. Центральная Россия была основным в стране производителем всех видов тканей. Главные центры текстильной промышленности – Москва, Иваново, города Московской (Орехово-Зуево, Ногинск), Ивановской и других областей.</w:t>
      </w:r>
    </w:p>
    <w:p w:rsidR="00FC1DAC" w:rsidRPr="0043139F" w:rsidRDefault="0043139F" w:rsidP="0043139F">
      <w:pPr>
        <w:pStyle w:val="a3"/>
        <w:numPr>
          <w:ilvl w:val="0"/>
          <w:numId w:val="1"/>
        </w:numPr>
        <w:rPr>
          <w:lang w:val="ru-RU"/>
        </w:rPr>
      </w:pPr>
      <w:r w:rsidRPr="0043139F">
        <w:rPr>
          <w:lang w:val="ru-RU"/>
        </w:rPr>
        <w:t>Топливно-энергетический комплекс использует, в основном, топливо и энергию других районов. Из местных ресурсов используются уголь, торф, гидроресурсы Верхней Волги, Свири, Волхова. С востока поступает нефть на НПЗ Москвы, Рязани, Ярославля, Кстово. Электроэнергетика включает ТЭС, ГЭС, АЭС (Нововоронежскую, Тверскую, Курскую, Смоленскую).</w:t>
      </w:r>
    </w:p>
    <w:p w:rsidR="009C0CE9" w:rsidRPr="0043139F" w:rsidRDefault="009C0CE9" w:rsidP="0043139F">
      <w:pPr>
        <w:ind w:left="360"/>
        <w:rPr>
          <w:lang w:val="ru-RU"/>
        </w:rPr>
      </w:pPr>
    </w:p>
    <w:sectPr w:rsidR="009C0CE9" w:rsidRPr="00431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493B"/>
    <w:multiLevelType w:val="hybridMultilevel"/>
    <w:tmpl w:val="79BC98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AC"/>
    <w:rsid w:val="00072A7E"/>
    <w:rsid w:val="0043139F"/>
    <w:rsid w:val="009C0CE9"/>
    <w:rsid w:val="00FC1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8A3F5-68E3-4083-8BB1-6F1679DE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gemun2</dc:creator>
  <cp:lastModifiedBy>Acer</cp:lastModifiedBy>
  <cp:revision>2</cp:revision>
  <dcterms:created xsi:type="dcterms:W3CDTF">2019-05-29T20:17:00Z</dcterms:created>
  <dcterms:modified xsi:type="dcterms:W3CDTF">2019-05-29T20:17:00Z</dcterms:modified>
</cp:coreProperties>
</file>